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2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7" w:name="мозгобойня-в-центре-развития"/>
    <w:p>
      <w:pPr>
        <w:pStyle w:val="Heading3"/>
      </w:pPr>
      <w:r>
        <w:t xml:space="preserve">Мозгобойня в Центре развития</w:t>
      </w:r>
    </w:p>
    <w:p>
      <w:pPr>
        <w:pStyle w:val="FirstParagraph"/>
      </w:pPr>
      <w:r>
        <w:t xml:space="preserve">19.04.2018</w:t>
      </w:r>
    </w:p>
    <w:p>
      <w:pPr>
        <w:pStyle w:val="BodyText"/>
      </w:pPr>
      <w:r>
        <w:t xml:space="preserve">Студенческое СМИ</w:t>
      </w:r>
      <w:r>
        <w:t xml:space="preserve"> </w:t>
      </w:r>
      <w:hyperlink r:id="rId20">
        <w:r>
          <w:rPr>
            <w:rStyle w:val="Hyperlink"/>
          </w:rPr>
          <w:t xml:space="preserve">DISSКурс</w:t>
        </w:r>
      </w:hyperlink>
      <w:r>
        <w:t xml:space="preserve"> </w:t>
      </w:r>
      <w:r>
        <w:t xml:space="preserve">приглашает всех принять участие в развлекательной игре «МОЗГОБОЙНЯ» в Центре развития! </w:t>
      </w:r>
      <w:r>
        <w:br/>
      </w:r>
      <w:r>
        <w:br/>
      </w:r>
      <w:r>
        <w:t xml:space="preserve">Правила игры следующие:</w:t>
      </w:r>
      <w:r>
        <w:br/>
      </w:r>
    </w:p>
    <w:p>
      <w:pPr>
        <w:numPr>
          <w:ilvl w:val="0"/>
          <w:numId w:val="1001"/>
        </w:numPr>
        <w:pStyle w:val="Compact"/>
      </w:pPr>
      <w:r>
        <w:t xml:space="preserve">В игре принимают участие несколько команд. В одной команде от 5 до 10 участников.</w:t>
      </w:r>
    </w:p>
    <w:p>
      <w:pPr>
        <w:numPr>
          <w:ilvl w:val="0"/>
          <w:numId w:val="1001"/>
        </w:numPr>
        <w:pStyle w:val="Compact"/>
      </w:pPr>
      <w:r>
        <w:t xml:space="preserve">На экране представлено несколько категорий. В каждой категории 9 вопросов, которые приносят команде разное количество очков: от 10 до 50.</w:t>
      </w:r>
    </w:p>
    <w:p>
      <w:pPr>
        <w:numPr>
          <w:ilvl w:val="0"/>
          <w:numId w:val="1001"/>
        </w:numPr>
        <w:pStyle w:val="Compact"/>
      </w:pPr>
      <w:r>
        <w:t xml:space="preserve">Команде предоставляется право выбора категории и стоимости вопроса. Очерёдность выступления команд определяется предварительной жеребьевкой.</w:t>
      </w:r>
    </w:p>
    <w:p>
      <w:pPr>
        <w:numPr>
          <w:ilvl w:val="0"/>
          <w:numId w:val="1001"/>
        </w:numPr>
        <w:pStyle w:val="Compact"/>
      </w:pPr>
      <w:r>
        <w:t xml:space="preserve">Если команда правильно ответила на вопрос, ей присваивается количество очков, равное стоимости вопроса.</w:t>
      </w:r>
    </w:p>
    <w:p>
      <w:pPr>
        <w:numPr>
          <w:ilvl w:val="0"/>
          <w:numId w:val="1001"/>
        </w:numPr>
        <w:pStyle w:val="Compact"/>
      </w:pPr>
      <w:r>
        <w:t xml:space="preserve">В случае неправильного ответа право отвечать переходит следующей команде согласно жеребьевке.</w:t>
      </w:r>
    </w:p>
    <w:p>
      <w:pPr>
        <w:numPr>
          <w:ilvl w:val="0"/>
          <w:numId w:val="1001"/>
        </w:numPr>
        <w:pStyle w:val="Compact"/>
      </w:pPr>
      <w:r>
        <w:t xml:space="preserve">На раздумья команде дается 30 секунд. Если по истечении этого времени ответа нет, право отвечать переходит следующим игрокам.</w:t>
      </w:r>
    </w:p>
    <w:p>
      <w:pPr>
        <w:pStyle w:val="FirstParagraph"/>
      </w:pPr>
      <w:r>
        <w:t xml:space="preserve">В конце игры жюри подсчитывает количество очков, побеждает команда, набравшая наибольшее количество.</w:t>
      </w:r>
      <w:r>
        <w:br/>
      </w:r>
      <w:r>
        <w:br/>
      </w:r>
      <w:r>
        <w:rPr>
          <w:bCs/>
          <w:b/>
        </w:rPr>
        <w:t xml:space="preserve">Когда:</w:t>
      </w:r>
      <w:r>
        <w:t xml:space="preserve"> </w:t>
      </w:r>
      <w:r>
        <w:t xml:space="preserve">25 апреля (среда), 18:00</w:t>
      </w:r>
      <w:r>
        <w:br/>
      </w:r>
      <w:r>
        <w:rPr>
          <w:bCs/>
          <w:b/>
        </w:rPr>
        <w:t xml:space="preserve">Где:</w:t>
      </w:r>
      <w:r>
        <w:t xml:space="preserve"> </w:t>
      </w:r>
      <w:r>
        <w:t xml:space="preserve">ст.м. Марксистская, ул Таганская 40/42, «Центр Развития»</w:t>
      </w:r>
      <w:r>
        <w:br/>
      </w:r>
      <w:r>
        <w:br/>
      </w:r>
      <w:r>
        <w:t xml:space="preserve">Регистрируйте свои команды. Да будет бой!</w:t>
      </w:r>
      <w:r>
        <w:br/>
      </w:r>
      <w:hyperlink r:id="rId21">
        <w:r>
          <w:rPr>
            <w:rStyle w:val="Hyperlink"/>
          </w:rPr>
          <w:t xml:space="preserve">https://spetskor.timepad.ru/event/706754/</w:t>
        </w:r>
      </w:hyperlink>
      <w:r>
        <w:br/>
      </w:r>
      <w:hyperlink r:id="rId20">
        <w:r>
          <w:rPr>
            <w:rStyle w:val="Hyperlink"/>
          </w:rPr>
          <w:t xml:space="preserve">DISSКурс</w:t>
        </w:r>
      </w:hyperlink>
      <w:r>
        <w:br/>
      </w:r>
    </w:p>
    <w:p>
      <w:pPr>
        <w:pStyle w:val="BodyText"/>
      </w:pPr>
      <w:r>
        <w:drawing>
          <wp:inline>
            <wp:extent cx="5334000" cy="3771304"/>
            <wp:effectExtent b="0" l="0" r="0" t="0"/>
            <wp:docPr descr="" title="" id="23" name="Picture"/>
            <a:graphic>
              <a:graphicData uri="http://schemas.openxmlformats.org/drawingml/2006/picture">
                <pic:pic>
                  <pic:nvPicPr>
                    <pic:cNvPr descr="/mnt/u01/sites/centrprof.dtoiv.mos.ru/www/upload/medialibrary/c31/cyminl4n44m.jp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77130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5">
        <w:r>
          <w:rPr>
            <w:rStyle w:val="Hyperlink"/>
          </w:rPr>
          <w:t xml:space="preserve">http://centrprof.dtoiv.mos.ru/projects/special-correspondent/detail/7276960.html</w:t>
        </w:r>
      </w:hyperlink>
    </w:p>
    <w:p>
      <w:pPr>
        <w:pStyle w:val="BodyText"/>
      </w:pPr>
      <w:hyperlink r:id="rId26">
        <w:r>
          <w:rPr>
            <w:rStyle w:val="Hyperlink"/>
          </w:rPr>
          <w:t xml:space="preserve">ГБУ города Москвы «Городской центр профессионального и карьерного развития»</w:t>
        </w:r>
      </w:hyperlink>
    </w:p>
    <w:bookmarkEnd w:id="27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2" Target="media/rId22.jpg" /><Relationship Type="http://schemas.openxmlformats.org/officeDocument/2006/relationships/hyperlink" Id="rId26" Target="http://centrprof.dtoiv.mos.ru" TargetMode="External" /><Relationship Type="http://schemas.openxmlformats.org/officeDocument/2006/relationships/hyperlink" Id="rId25" Target="http://centrprof.dtoiv.mos.ru/projects/special-correspondent/detail/7276960.html" TargetMode="External" /><Relationship Type="http://schemas.openxmlformats.org/officeDocument/2006/relationships/hyperlink" Id="rId21" Target="https://vk.com/away.php?to=https%3A%2F%2Fspetskor.timepad.ru%2Fevent%2F706754%2F&amp;post=-132225910_2089&amp;cc_key=" TargetMode="External" /><Relationship Type="http://schemas.openxmlformats.org/officeDocument/2006/relationships/hyperlink" Id="rId20" Target="https://vk.com/dis_club_mspu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6" Target="http://centrprof.dtoiv.mos.ru" TargetMode="External" /><Relationship Type="http://schemas.openxmlformats.org/officeDocument/2006/relationships/hyperlink" Id="rId25" Target="http://centrprof.dtoiv.mos.ru/projects/special-correspondent/detail/7276960.html" TargetMode="External" /><Relationship Type="http://schemas.openxmlformats.org/officeDocument/2006/relationships/hyperlink" Id="rId21" Target="https://vk.com/away.php?to=https%3A%2F%2Fspetskor.timepad.ru%2Fevent%2F706754%2F&amp;post=-132225910_2089&amp;cc_key=" TargetMode="External" /><Relationship Type="http://schemas.openxmlformats.org/officeDocument/2006/relationships/hyperlink" Id="rId20" Target="https://vk.com/dis_club_mspu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2024-04-18T15:16:40Z</dcterms:created>
  <dcterms:modified xsi:type="dcterms:W3CDTF">2024-04-18T15:16:40Z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